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lastRenderedPageBreak/>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w:t>
      </w:r>
      <w:r w:rsidR="006B3837">
        <w:rPr>
          <w:sz w:val="20"/>
          <w:szCs w:val="20"/>
        </w:rPr>
        <w:lastRenderedPageBreak/>
        <w:t xml:space="preserve">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z późn.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w:t>
      </w:r>
      <w:r w:rsidRPr="00B879C6">
        <w:rPr>
          <w:sz w:val="20"/>
          <w:szCs w:val="20"/>
        </w:rPr>
        <w:lastRenderedPageBreak/>
        <w:t>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Beneficjent zobowiązany jest do prowadzenia działań informacyjno</w:t>
      </w:r>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 xml:space="preserve">planowanym(ych)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ryzyk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r w:rsidR="003567F9" w:rsidRPr="00C71D56">
        <w:rPr>
          <w:sz w:val="20"/>
          <w:szCs w:val="20"/>
        </w:rPr>
        <w:t>nieinwestycyjne,</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lastRenderedPageBreak/>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minimis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minimis.</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o funkcjonowaniu Unii Europejskiej do pomocy de minimis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minimis.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minimis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minimis w ujęciu ogólnym. Zgodnie z art. 3 ust. 2 wymienionego rozporządzenia całkowita kwota pomocy de minimis przyznanej przez państwo członkowskie jednemu przedsiębiorstwu </w:t>
      </w:r>
      <w:r w:rsidRPr="003D2309">
        <w:rPr>
          <w:color w:val="000000"/>
          <w:sz w:val="20"/>
          <w:szCs w:val="20"/>
          <w:lang w:eastAsia="ar-SA"/>
        </w:rPr>
        <w:lastRenderedPageBreak/>
        <w:t xml:space="preserve">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w odniesieniu do limitu pomocy de minimis.</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minimis. Maksymalna wartość pomocy de minimis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Przy ustaleniu obowiązującego podmiot limitu pomocy de minimis kluczowe znaczenie ma rodzaj wykonywanej działalności (w tym działalności, której dotyczy operacja), zapewnienie rozdzielności rachunkowej dla działalności, która podlega ograniczonemu limitowi pomocy de minimis oraz dotychczas uzyskana wartość pomocy de minimis w ramach poszczególnych limitów (decydująca podstawa prawna udzielenia pomocy de minimis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minimis,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podmiotów wykonujących usługi świadczone w ogólnym interesie gospodarczym, wpływ na wysokość dostępnego limitu pomocy de minimis będzie miała również pomoc de minimis udzielona na podstawie rozporządzenia nr 360/2012, albowiem pomoc taką można łączyć z pomocą de minimis udzieloną na podstawie innych rozporządzeń o pomocy de minimis do pułapu 500 000 euro. Przykładowo, przedsiębiorstwu, które w okresie referencyjnym uzyskało już pomoc w ramach rozporządzenia nr 360/2012 w wysokości 450 000 euro, pozostał do wykorzystania limit pomocy de minimis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Pomoc de minimis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Okres objęty pomocą de minimis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minimis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minimis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minimis. W sytuacji, gdy na takie dwie spółki decydujący wpływ wywiera osoba fizyczna nieprowadząca działalności gospodarczej i jest to jedyna relacja łącząca te podmioty, mogą one korzystać z odrębnych limitów pomocy de minimis.</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minimis,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minimis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minimis,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minimis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minimis,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zy limitem pomocy de minimis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lastRenderedPageBreak/>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9"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zasobooszczędnego,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lastRenderedPageBreak/>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minimis.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lastRenderedPageBreak/>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z późn. zm.</w:t>
      </w:r>
      <w:r w:rsidRPr="002626E5">
        <w:rPr>
          <w:sz w:val="20"/>
          <w:szCs w:val="20"/>
        </w:rPr>
        <w:t xml:space="preserve">), (zwanej dalej „ustawą Pzp”),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„Pzp”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ws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MGMiŻŚ</w:t>
      </w:r>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będących podmiotami zobowiązanymi zgodnie z art. 3 Pzp do jej stosowania, w przypadku zamówień o wartości równej lub niższej kwocie określonej w art. 4 pkt 8 Pzp:</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W przypadku zamówień do kwoty 20 000 złotych netto lub w przypadku zamówień, w ramach których Pzp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ws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opublikowanego na stronie internetowej MGMiŻŚ</w:t>
      </w:r>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lastRenderedPageBreak/>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t>
      </w:r>
      <w:r w:rsidRPr="000B5A7D">
        <w:rPr>
          <w:rFonts w:ascii="Times New Roman" w:hAnsi="Times New Roman" w:cs="Times New Roman"/>
          <w:sz w:val="20"/>
          <w:szCs w:val="20"/>
        </w:rPr>
        <w:lastRenderedPageBreak/>
        <w:t>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lastRenderedPageBreak/>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w:t>
      </w:r>
      <w:r w:rsidRPr="0026497C">
        <w:rPr>
          <w:sz w:val="20"/>
          <w:szCs w:val="20"/>
        </w:rPr>
        <w:lastRenderedPageBreak/>
        <w:t xml:space="preserve">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minimis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minimis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de minimis</w:t>
      </w:r>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minimis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minimis,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de minimis</w:t>
      </w:r>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minimis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w:t>
      </w:r>
      <w:r w:rsidR="00756E6C" w:rsidRPr="0026497C">
        <w:rPr>
          <w:sz w:val="20"/>
        </w:rPr>
        <w:lastRenderedPageBreak/>
        <w:t xml:space="preserve">o funkcjonowaniu Unii Europejskiej do pomocy </w:t>
      </w:r>
      <w:r w:rsidR="00756E6C" w:rsidRPr="0026497C">
        <w:rPr>
          <w:i/>
          <w:sz w:val="20"/>
        </w:rPr>
        <w:t>de minimis</w:t>
      </w:r>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de minimis</w:t>
      </w:r>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minimis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de minimis</w:t>
      </w:r>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minimis udzielona była na warunkach określonych w rozporządzeniu Komisji (WE) Nr 1998/2006 z dnia 15 grudnia 2006 r. w sprawie stosowania art. 87 i 88 Traktatu do pomocy </w:t>
      </w:r>
      <w:r w:rsidRPr="0026497C">
        <w:rPr>
          <w:i/>
          <w:sz w:val="20"/>
        </w:rPr>
        <w:t>de minimis</w:t>
      </w:r>
      <w:r w:rsidRPr="0026497C">
        <w:rPr>
          <w:sz w:val="20"/>
        </w:rPr>
        <w:t xml:space="preserve"> (Dz. Urz. UE L 379 z 28.12. 2006 roku, str. 5 z późn.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minimis i pomocy de minimis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operacja dotyczy operacji obejmujących zadania nieinwestycyjne,</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lastRenderedPageBreak/>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Pzp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późn.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Prawo budowlane.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W przypadku natomiast zmiany sposobu użytkowania obiektu budowlanego lub jego części (art. 71 ust. 2 ustawy z dnia 7 lipca 1994 r. Prawo budowlane), wymagane jest zgłoszenie takiej zmiany organowi administracji architektoniczno – budowlanej.</w:t>
      </w:r>
    </w:p>
    <w:p w14:paraId="2FCAEAD0" w14:textId="77777777" w:rsidR="0011363A" w:rsidRDefault="0011363A" w:rsidP="0011363A">
      <w:pPr>
        <w:spacing w:before="12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lastRenderedPageBreak/>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2291, z póżn.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lastRenderedPageBreak/>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z późn.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późn.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z późn.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w:t>
      </w:r>
      <w:r>
        <w:rPr>
          <w:sz w:val="20"/>
          <w:szCs w:val="20"/>
        </w:rPr>
        <w:lastRenderedPageBreak/>
        <w:t xml:space="preserve">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DCA88" w14:textId="77777777" w:rsidR="00EC5B75" w:rsidRDefault="00EC5B75">
      <w:r>
        <w:separator/>
      </w:r>
    </w:p>
  </w:endnote>
  <w:endnote w:type="continuationSeparator" w:id="0">
    <w:p w14:paraId="26F4454C" w14:textId="77777777" w:rsidR="00EC5B75" w:rsidRDefault="00EC5B75">
      <w:r>
        <w:continuationSeparator/>
      </w:r>
    </w:p>
  </w:endnote>
  <w:endnote w:type="continuationNotice" w:id="1">
    <w:p w14:paraId="700F2D7A" w14:textId="77777777" w:rsidR="00EC5B75" w:rsidRDefault="00EC5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9B5A9A">
            <w:rPr>
              <w:rStyle w:val="Numerstrony"/>
              <w:b/>
              <w:noProof/>
              <w:sz w:val="20"/>
            </w:rPr>
            <w:t>1</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9B5A9A">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3E6A6" w14:textId="77777777" w:rsidR="00EC5B75" w:rsidRDefault="00EC5B75">
      <w:r>
        <w:separator/>
      </w:r>
    </w:p>
  </w:footnote>
  <w:footnote w:type="continuationSeparator" w:id="0">
    <w:p w14:paraId="45F7018C" w14:textId="77777777" w:rsidR="00EC5B75" w:rsidRDefault="00EC5B75">
      <w:r>
        <w:continuationSeparator/>
      </w:r>
    </w:p>
  </w:footnote>
  <w:footnote w:type="continuationNotice" w:id="1">
    <w:p w14:paraId="0828B416" w14:textId="77777777" w:rsidR="00EC5B75" w:rsidRDefault="00EC5B75"/>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i Rady (UE) nr 1255/2011 (Dz. Urz. UE L 149 z 20.05.2014, str. 1, z późn.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minimis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5A9A"/>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5B75"/>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ACEB-41BC-4D72-B484-D8BCB4FA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16858</Words>
  <Characters>101149</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biuro </cp:lastModifiedBy>
  <cp:revision>3</cp:revision>
  <cp:lastPrinted>2018-04-19T06:50:00Z</cp:lastPrinted>
  <dcterms:created xsi:type="dcterms:W3CDTF">2019-10-29T13:15:00Z</dcterms:created>
  <dcterms:modified xsi:type="dcterms:W3CDTF">2019-10-29T13:15:00Z</dcterms:modified>
</cp:coreProperties>
</file>